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7" w:rsidRPr="00705C37" w:rsidRDefault="00ED2CD7" w:rsidP="001A0515">
      <w:pPr>
        <w:pBdr>
          <w:bottom w:val="single" w:sz="6" w:space="2" w:color="CCCCCC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</w:pPr>
      <w:r w:rsidRPr="00705C37"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  <w:t xml:space="preserve">Entité de rattachement </w:t>
      </w:r>
    </w:p>
    <w:p w:rsidR="00705C37" w:rsidRPr="00ED2CD7" w:rsidRDefault="00705C3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705C37" w:rsidRDefault="00ED2CD7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La MACSF, 1er assureur français des professionnels de la santé, s'implique auprès de ses </w:t>
      </w:r>
      <w:r w:rsid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1 million de</w:t>
      </w: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sociétaires pour proposer des solutions professionnelles et personnelles en assurance, épargne, financement et prévoyance. </w:t>
      </w: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  <w:t>Rejoindre nos 1</w:t>
      </w:r>
      <w:r w:rsidR="00772D6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60</w:t>
      </w: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0 collaborateurs, c'est contribuer à développer nos valeurs de solidarité mutualiste à la hauteur de l'engagement de nos sociétaires, t</w:t>
      </w:r>
      <w:r w:rsidR="00314DD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ous professionnels de la santé.</w:t>
      </w:r>
    </w:p>
    <w:p w:rsidR="001A0515" w:rsidRPr="001A0515" w:rsidRDefault="001A0515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ED2CD7" w:rsidRPr="00ED2CD7" w:rsidRDefault="00ED2CD7" w:rsidP="001A0515">
      <w:pPr>
        <w:pBdr>
          <w:bottom w:val="single" w:sz="6" w:space="2" w:color="CCCCCC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  <w:t>Localisation du poste</w:t>
      </w:r>
    </w:p>
    <w:p w:rsidR="00705C37" w:rsidRDefault="00705C3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1A0515" w:rsidRDefault="00ED2CD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 xml:space="preserve">Localisation du poste </w:t>
      </w:r>
    </w:p>
    <w:p w:rsidR="00705C37" w:rsidRDefault="001A0515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Ile</w:t>
      </w:r>
      <w:r w:rsidR="00ED2CD7"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-de-France, Hauts-de-Seine (92)</w:t>
      </w:r>
    </w:p>
    <w:p w:rsidR="001A0515" w:rsidRPr="001A0515" w:rsidRDefault="001A0515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ED2CD7" w:rsidRPr="00ED2CD7" w:rsidRDefault="00ED2CD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 xml:space="preserve">Lieu </w:t>
      </w:r>
    </w:p>
    <w:p w:rsidR="00ED2CD7" w:rsidRDefault="00ED2CD7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10 Cours du Triangle, 92800 Puteaux, 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France</w:t>
      </w:r>
    </w:p>
    <w:p w:rsidR="001A0515" w:rsidRPr="00ED2CD7" w:rsidRDefault="001A0515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ED2CD7" w:rsidRPr="00ED2CD7" w:rsidRDefault="00ED2CD7" w:rsidP="001A0515">
      <w:pPr>
        <w:pBdr>
          <w:bottom w:val="single" w:sz="6" w:space="2" w:color="CCCCCC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  <w:t>Description du poste</w:t>
      </w:r>
    </w:p>
    <w:p w:rsidR="001A0515" w:rsidRDefault="001A0515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ED2CD7" w:rsidRPr="00ED2CD7" w:rsidRDefault="00DB7FF1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>Métier</w:t>
      </w:r>
    </w:p>
    <w:p w:rsidR="00ED2CD7" w:rsidRPr="00ED2CD7" w:rsidRDefault="00E40D0B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Direction </w:t>
      </w:r>
      <w:r w:rsidR="009E52E9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du Pilotage et </w:t>
      </w:r>
      <w:r w:rsidR="001E12C7"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des R</w:t>
      </w:r>
      <w:r w:rsidR="009E52E9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isques du groupe MACSF – Gestion des Risques </w:t>
      </w:r>
    </w:p>
    <w:p w:rsidR="00705C37" w:rsidRDefault="00705C3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ED2CD7" w:rsidRPr="00ED2CD7" w:rsidRDefault="00ED2CD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 xml:space="preserve">Intitulé du poste </w:t>
      </w:r>
    </w:p>
    <w:p w:rsidR="00ED2CD7" w:rsidRPr="00ED2CD7" w:rsidRDefault="00F456D2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G</w:t>
      </w:r>
      <w:r w:rsidR="00ED2CD7"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estion</w:t>
      </w:r>
      <w:r w:rsidR="00705C3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naire</w:t>
      </w:r>
      <w:r w:rsidR="00ED2CD7"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des </w:t>
      </w:r>
      <w:r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</w:t>
      </w:r>
      <w:r w:rsidR="00ED2CD7" w:rsidRPr="00F456D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isques</w:t>
      </w:r>
      <w:r w:rsidR="00ED2CD7" w:rsidRPr="00ED2CD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H/F</w:t>
      </w:r>
    </w:p>
    <w:p w:rsidR="00705C37" w:rsidRDefault="00705C3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ED2CD7" w:rsidRPr="00ED2CD7" w:rsidRDefault="00ED2CD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 xml:space="preserve">Durée du contrat </w:t>
      </w:r>
    </w:p>
    <w:p w:rsidR="00ED2CD7" w:rsidRPr="00ED2CD7" w:rsidRDefault="00EA49B8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6 mois </w:t>
      </w:r>
    </w:p>
    <w:p w:rsidR="00705C37" w:rsidRDefault="00705C3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ED2CD7" w:rsidRPr="00ED2CD7" w:rsidRDefault="00ED2CD7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ED2CD7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 xml:space="preserve">Contrat </w:t>
      </w:r>
    </w:p>
    <w:p w:rsidR="00ED2CD7" w:rsidRPr="00ED2CD7" w:rsidRDefault="001A0515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Stagiaire ou é</w:t>
      </w:r>
      <w:r w:rsidR="00705C3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tudiant en alternance</w:t>
      </w:r>
    </w:p>
    <w:p w:rsidR="001A0515" w:rsidRDefault="001A0515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B67BD6" w:rsidRDefault="00B67BD6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  <w:r w:rsidRPr="00F456D2"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  <w:t>Description de la mission</w:t>
      </w:r>
    </w:p>
    <w:p w:rsidR="001A0515" w:rsidRPr="00ED2CD7" w:rsidRDefault="001A0515" w:rsidP="001A0515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fr-FR"/>
        </w:rPr>
      </w:pPr>
    </w:p>
    <w:p w:rsidR="002D2C7C" w:rsidRDefault="002D2C7C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Pour notre siège à la Défense, nous reche</w:t>
      </w:r>
      <w:r w:rsidR="00BC029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rchons un 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stagiaire </w:t>
      </w:r>
      <w:r w:rsidR="00724C0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dès que possible</w:t>
      </w:r>
      <w:r w:rsidR="0073209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(</w:t>
      </w:r>
      <w:r w:rsidR="00724C0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année scolaire 2022-2023</w:t>
      </w:r>
      <w:r w:rsidR="0073209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)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Au sein du service Gestion des Risques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 la Direction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Pilotage et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des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Risques </w:t>
      </w:r>
      <w:r w:rsidR="007C422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du Groupe MACSF,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vous participerez activement </w:t>
      </w:r>
      <w:r w:rsidR="0073209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à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l’analyse </w:t>
      </w:r>
      <w:r w:rsidR="00705C3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des risques</w:t>
      </w:r>
      <w:r w:rsidR="0073209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en lien à l’activité commerciale</w:t>
      </w:r>
      <w:r w:rsidR="00FF745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et à la connaissance client</w:t>
      </w:r>
      <w:r w:rsidR="00705C3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</w:p>
    <w:p w:rsidR="00D574C2" w:rsidRDefault="00D574C2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1979D3" w:rsidRDefault="00724C07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L’objet du stage est</w:t>
      </w:r>
      <w:r w:rsidR="002D2C7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d’appréhender d’un point de vue statistique le comportement </w:t>
      </w:r>
      <w:r w:rsidR="00FF745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des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assurés vis-à-vis</w:t>
      </w:r>
      <w:r w:rsidR="00111CB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4370B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</w:t>
      </w:r>
      <w:r w:rsidR="00FF745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la souscription, de la résiliation</w:t>
      </w:r>
      <w:r w:rsidR="00111CB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d</w:t>
      </w:r>
      <w:r w:rsidR="004370B0" w:rsidRPr="00314DD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es </w:t>
      </w:r>
      <w:r w:rsidR="002D2C7C" w:rsidRPr="00314DD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flux d’épargne</w:t>
      </w:r>
      <w:r w:rsidR="00D574C2" w:rsidRPr="00314DD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  <w:r w:rsidR="00111CB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et </w:t>
      </w:r>
      <w:r w:rsidR="007C079E" w:rsidRPr="00314DD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de leur sinistralité.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Sur la base d’analyses 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de données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puis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modélisation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statistique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 (segmentation, estimation, prédiction), votre mission consistera </w:t>
      </w:r>
      <w:r w:rsidR="006F435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à </w:t>
      </w:r>
      <w:r w:rsidR="00BC029F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enrichir l</w:t>
      </w:r>
      <w:r w:rsidR="002D2C7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es outils de suivi 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du </w:t>
      </w:r>
      <w:r w:rsidR="002D2C7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comportement des assurés</w:t>
      </w:r>
      <w:r w:rsidR="00111CB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2D1651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du groupe MACSF</w:t>
      </w:r>
      <w:r w:rsidR="001979D3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</w:p>
    <w:p w:rsidR="007C079E" w:rsidRPr="00820553" w:rsidRDefault="007C079E" w:rsidP="001A0515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D73169" w:rsidRPr="00820553" w:rsidRDefault="00772D6C" w:rsidP="00772D6C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Analyser le</w:t>
      </w:r>
      <w:r w:rsidR="00D7316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comportement de souscription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pour développer un modèle de projection du portefeuille de contrats MACSF</w:t>
      </w:r>
      <w:r w:rsidR="00CA606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</w:p>
    <w:p w:rsidR="00D73169" w:rsidRPr="00820553" w:rsidRDefault="00111DDA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analyse</w:t>
      </w:r>
      <w:proofErr w:type="gramEnd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des </w:t>
      </w:r>
      <w:r w:rsidR="00D7316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déviations du portefeuille d’assurés (augmentation tendancielle de certaines typologies parmi les affaires nouvelles et les résiliations)</w:t>
      </w:r>
      <w:r w:rsidR="00FC21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;</w:t>
      </w:r>
    </w:p>
    <w:p w:rsidR="00FA779B" w:rsidRPr="00820553" w:rsidRDefault="00FA779B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distinguer les facteurs </w:t>
      </w:r>
      <w:r w:rsidR="001E12C7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d’influence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la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souscription de nos assurés</w:t>
      </w:r>
      <w:r w:rsidR="00FC21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;</w:t>
      </w:r>
    </w:p>
    <w:p w:rsidR="00823909" w:rsidRDefault="00FA779B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déterminer</w:t>
      </w:r>
      <w:proofErr w:type="gramEnd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es classes comportementales </w:t>
      </w:r>
      <w:r w:rsidR="0063039A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homogènes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sur la base des</w:t>
      </w:r>
      <w:r w:rsidR="0082390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typologies des assurés 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(</w:t>
      </w:r>
      <w:r w:rsidR="00A17ABD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en considérant </w:t>
      </w:r>
      <w:r w:rsidR="00B6095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façon indépendante </w:t>
      </w:r>
      <w:r w:rsidR="00A17ABD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les </w:t>
      </w:r>
      <w:r w:rsidR="0082390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affaires nouvelles, </w:t>
      </w:r>
      <w:r w:rsidR="00A17ABD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les </w:t>
      </w:r>
      <w:r w:rsidR="0082390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résiliations, </w:t>
      </w:r>
      <w:r w:rsidR="00A17ABD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le </w:t>
      </w:r>
      <w:r w:rsidR="0082390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stock, </w:t>
      </w:r>
      <w:r w:rsidR="00A17ABD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et les </w:t>
      </w:r>
      <w:r w:rsidR="006F435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professionnels de</w:t>
      </w:r>
      <w:r w:rsidR="002F281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santé </w:t>
      </w:r>
      <w:r w:rsidR="0082390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non assurés </w:t>
      </w:r>
      <w:r w:rsidR="002F281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MACSF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)</w:t>
      </w:r>
      <w:r w:rsidR="00FC2190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;</w:t>
      </w:r>
    </w:p>
    <w:p w:rsidR="00A27E6B" w:rsidRPr="00A27E6B" w:rsidRDefault="00A27E6B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déterminer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les c</w:t>
      </w:r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aractéristiques explicatives des contrats souscrits par sociétaire, des résiliations, des affaires nouvelles et des renouvellements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;</w:t>
      </w:r>
    </w:p>
    <w:p w:rsidR="00A27E6B" w:rsidRDefault="00A27E6B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analyse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des d</w:t>
      </w:r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élais entre les souscriptions et causalité des choix entre les contrats souscrits par les clients-sociétaires</w:t>
      </w:r>
      <w:r w:rsidR="00FF745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;</w:t>
      </w:r>
    </w:p>
    <w:p w:rsidR="00772D6C" w:rsidRPr="00A27E6B" w:rsidRDefault="00FF745C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c</w:t>
      </w:r>
      <w:r w:rsidR="00772D6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alibration</w:t>
      </w:r>
      <w:proofErr w:type="gramEnd"/>
      <w:r w:rsidR="00772D6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 modèles pour la prédiction</w:t>
      </w:r>
    </w:p>
    <w:p w:rsidR="00FA779B" w:rsidRDefault="00FA779B" w:rsidP="00772D6C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D574C2" w:rsidRDefault="006854FA" w:rsidP="00772D6C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I</w:t>
      </w:r>
      <w:r w:rsidR="00D574C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ntégrer les flux de </w:t>
      </w:r>
      <w:r w:rsidR="00D574C2"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primes</w:t>
      </w:r>
      <w:r w:rsidR="00D574C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et 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</w:t>
      </w:r>
      <w:r w:rsidR="00D574C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es prestations à l’analyse du sociétariat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:</w:t>
      </w:r>
    </w:p>
    <w:p w:rsidR="00D574C2" w:rsidRPr="00D574C2" w:rsidRDefault="00D574C2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</w:t>
      </w:r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entabilité</w:t>
      </w:r>
      <w:proofErr w:type="gramEnd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par profil de clients-sociétaires (</w:t>
      </w:r>
      <w:proofErr w:type="spellStart"/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scoring</w:t>
      </w:r>
      <w:proofErr w:type="spellEnd"/>
      <w:r w:rsidRPr="0097025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des entrants et sortants)</w:t>
      </w:r>
    </w:p>
    <w:p w:rsidR="00D574C2" w:rsidRPr="007C079E" w:rsidRDefault="00D574C2" w:rsidP="00772D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6C64A5" w:rsidRPr="00820553" w:rsidRDefault="006854FA" w:rsidP="00772D6C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</w:t>
      </w:r>
      <w:r w:rsidR="00D73169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ettre en œuvre</w:t>
      </w:r>
      <w:r w:rsidR="00F679EE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un outil de contrôle des </w:t>
      </w:r>
      <w:r w:rsidR="00232B05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t</w:t>
      </w:r>
      <w:r w:rsidR="004C2018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ypologie</w:t>
      </w:r>
      <w:r w:rsidR="00F679EE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</w:t>
      </w:r>
      <w:r w:rsidR="004C2018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</w:t>
      </w:r>
      <w:r w:rsidR="00F679EE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’</w:t>
      </w:r>
      <w:r w:rsidR="004C2018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assurés ayant une sinistralité remarquable</w:t>
      </w:r>
      <w:r w:rsidR="00B5611C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:</w:t>
      </w:r>
    </w:p>
    <w:p w:rsidR="00820553" w:rsidRDefault="00820553" w:rsidP="00772D6C">
      <w:pPr>
        <w:pStyle w:val="Paragraphedeliste"/>
        <w:numPr>
          <w:ilvl w:val="1"/>
          <w:numId w:val="2"/>
        </w:numPr>
        <w:spacing w:after="0" w:line="240" w:lineRule="auto"/>
        <w:ind w:left="284" w:hanging="141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proofErr w:type="gramStart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analyse</w:t>
      </w:r>
      <w:proofErr w:type="gramEnd"/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des </w:t>
      </w:r>
      <w:r w:rsidR="00442D5A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caractéristiques des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assurés ayant </w:t>
      </w:r>
      <w:r w:rsidR="00442D5A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une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sinistralité </w:t>
      </w:r>
      <w:r w:rsidR="00442D5A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extrême</w:t>
      </w:r>
    </w:p>
    <w:p w:rsidR="007C079E" w:rsidRPr="007C079E" w:rsidRDefault="007C079E" w:rsidP="00772D6C">
      <w:pPr>
        <w:spacing w:after="0" w:line="240" w:lineRule="auto"/>
        <w:ind w:left="426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7C079E" w:rsidRDefault="00111CBC" w:rsidP="00D80F9B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</w:t>
      </w:r>
      <w:r w:rsidR="007C079E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évelopper un modèle explicatif des flux 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en </w:t>
      </w:r>
      <w:r w:rsidR="007C079E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épargne</w:t>
      </w: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</w:p>
    <w:p w:rsidR="00772D6C" w:rsidRDefault="00772D6C" w:rsidP="00772D6C">
      <w:pPr>
        <w:pStyle w:val="Paragraphedeliste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772D6C" w:rsidRDefault="00772D6C" w:rsidP="00772D6C">
      <w:pPr>
        <w:pStyle w:val="Paragraphedeliste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BB6EC2" w:rsidRPr="00705C37" w:rsidRDefault="00BB6EC2" w:rsidP="001A0515">
      <w:pPr>
        <w:pBdr>
          <w:bottom w:val="single" w:sz="6" w:space="2" w:color="CCCCCC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</w:pPr>
      <w:r w:rsidRPr="00705C37"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  <w:t>Votre profil</w:t>
      </w:r>
    </w:p>
    <w:p w:rsidR="00820553" w:rsidRPr="00820553" w:rsidRDefault="00820553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BB6EC2" w:rsidRDefault="00BB6EC2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Etudiant(e) d’un 3ème cycle universit</w:t>
      </w:r>
      <w:r w:rsidR="00D574C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aire avec une spécialisation en</w:t>
      </w:r>
      <w:r w:rsidR="00B715AF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statistiques</w:t>
      </w:r>
      <w:r w:rsidR="004343A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</w:t>
      </w:r>
      <w:r w:rsidR="00D574C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data science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vous souhaitez acquérir de solides connaissances dans le milieu 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du marketing quantitatif </w:t>
      </w:r>
      <w:r w:rsidR="00705C37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en assurance.</w:t>
      </w:r>
    </w:p>
    <w:p w:rsidR="001A0515" w:rsidRPr="00820553" w:rsidRDefault="001A0515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5A2506" w:rsidRDefault="00BB6EC2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Vous faites preuve d'aisance relationnelle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  <w:r w:rsidR="001B4E5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V</w:t>
      </w:r>
      <w:r w:rsidR="001B4E5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ous disposez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d'une forte capacité </w:t>
      </w:r>
      <w:r w:rsidR="001B4E5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à travailler de façon autonome.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Réactivité, rigueur et esprit de synthèses seront vos atouts pour mener à bien </w:t>
      </w:r>
      <w:r w:rsidR="00442D5A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vos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mission</w:t>
      </w:r>
      <w:r w:rsidR="00442D5A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</w:t>
      </w:r>
      <w:r w:rsidR="00F456D2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</w:p>
    <w:p w:rsidR="001A0515" w:rsidRPr="00820553" w:rsidRDefault="001A0515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0B766C" w:rsidRDefault="00BB6EC2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Vous maîtrisez </w:t>
      </w:r>
      <w:r w:rsidR="000C5E2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le logiciel SAS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</w:t>
      </w:r>
      <w:r w:rsidR="000C5E2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="00C6360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un langa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ge de programmation (R, Python) et</w:t>
      </w:r>
      <w:r w:rsidR="00C6360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r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les méthodes </w:t>
      </w:r>
      <w:r w:rsidR="00B715AF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statistiques </w:t>
      </w:r>
      <w:r w:rsidR="0070696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utilisées</w:t>
      </w:r>
      <w:r w:rsidR="00D80F9B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en data science</w:t>
      </w:r>
      <w:r w:rsidR="001B4E5C" w:rsidRPr="00820553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.</w:t>
      </w:r>
    </w:p>
    <w:p w:rsidR="000B766C" w:rsidRDefault="000B766C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0B766C" w:rsidRPr="00705C37" w:rsidRDefault="000B766C" w:rsidP="001A0515">
      <w:pPr>
        <w:pBdr>
          <w:bottom w:val="single" w:sz="6" w:space="2" w:color="CCCCCC"/>
        </w:pBd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7E4A91"/>
          <w:sz w:val="27"/>
          <w:szCs w:val="27"/>
          <w:lang w:eastAsia="fr-FR"/>
        </w:rPr>
        <w:t>Contact</w:t>
      </w:r>
    </w:p>
    <w:p w:rsidR="001A0515" w:rsidRDefault="001A0515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</w:p>
    <w:p w:rsidR="000B766C" w:rsidRDefault="000B766C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Santiago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Tavolaro</w:t>
      </w:r>
      <w:proofErr w:type="spellEnd"/>
    </w:p>
    <w:p w:rsidR="000B766C" w:rsidRDefault="000B766C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MACSF - Direction </w:t>
      </w:r>
      <w:r w:rsidR="001A0515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du pilotage et des risques – Gestion des risques</w:t>
      </w:r>
    </w:p>
    <w:p w:rsidR="000B766C" w:rsidRDefault="000B766C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>Tél : 01 71 23 75 60</w:t>
      </w:r>
    </w:p>
    <w:p w:rsidR="000B766C" w:rsidRDefault="000B766C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e-mail : </w:t>
      </w:r>
      <w:hyperlink r:id="rId5" w:history="1">
        <w:r w:rsidRPr="00CD65A2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Santiago.tavolaro@macsf.fr</w:t>
        </w:r>
      </w:hyperlink>
    </w:p>
    <w:p w:rsidR="000B766C" w:rsidRPr="00F456D2" w:rsidRDefault="00706962" w:rsidP="001A05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hyperlink r:id="rId6" w:history="1">
        <w:r w:rsidR="000B766C" w:rsidRPr="00CD65A2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https://www.macsf.fr/</w:t>
        </w:r>
      </w:hyperlink>
      <w:bookmarkStart w:id="0" w:name="_GoBack"/>
      <w:bookmarkEnd w:id="0"/>
    </w:p>
    <w:sectPr w:rsidR="000B766C" w:rsidRPr="00F4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885"/>
    <w:multiLevelType w:val="hybridMultilevel"/>
    <w:tmpl w:val="6F6012A2"/>
    <w:lvl w:ilvl="0" w:tplc="0F9E72F4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4346E1"/>
    <w:multiLevelType w:val="hybridMultilevel"/>
    <w:tmpl w:val="DF289352"/>
    <w:lvl w:ilvl="0" w:tplc="87AE89E6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A6568E"/>
    <w:multiLevelType w:val="hybridMultilevel"/>
    <w:tmpl w:val="4B56A8E6"/>
    <w:lvl w:ilvl="0" w:tplc="7F788A0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B6"/>
    <w:rsid w:val="000B766C"/>
    <w:rsid w:val="000C5E23"/>
    <w:rsid w:val="00111CBC"/>
    <w:rsid w:val="00111DDA"/>
    <w:rsid w:val="0012052D"/>
    <w:rsid w:val="001979D3"/>
    <w:rsid w:val="001A0515"/>
    <w:rsid w:val="001A41BD"/>
    <w:rsid w:val="001B4E5C"/>
    <w:rsid w:val="001D5642"/>
    <w:rsid w:val="001E12C7"/>
    <w:rsid w:val="00232B05"/>
    <w:rsid w:val="002D1651"/>
    <w:rsid w:val="002D2C7C"/>
    <w:rsid w:val="002F2813"/>
    <w:rsid w:val="00314DD3"/>
    <w:rsid w:val="00421B70"/>
    <w:rsid w:val="004343A7"/>
    <w:rsid w:val="004370B0"/>
    <w:rsid w:val="00442D5A"/>
    <w:rsid w:val="0049342A"/>
    <w:rsid w:val="004A3174"/>
    <w:rsid w:val="004C2018"/>
    <w:rsid w:val="005130D7"/>
    <w:rsid w:val="005A2506"/>
    <w:rsid w:val="00616E78"/>
    <w:rsid w:val="0063039A"/>
    <w:rsid w:val="00652CFC"/>
    <w:rsid w:val="006854FA"/>
    <w:rsid w:val="006C64A5"/>
    <w:rsid w:val="006F4357"/>
    <w:rsid w:val="00705C37"/>
    <w:rsid w:val="00706962"/>
    <w:rsid w:val="00724C07"/>
    <w:rsid w:val="00732097"/>
    <w:rsid w:val="00752E73"/>
    <w:rsid w:val="00772D6C"/>
    <w:rsid w:val="00790F76"/>
    <w:rsid w:val="007C079E"/>
    <w:rsid w:val="007C422C"/>
    <w:rsid w:val="007F60CE"/>
    <w:rsid w:val="00820553"/>
    <w:rsid w:val="00823909"/>
    <w:rsid w:val="00841B89"/>
    <w:rsid w:val="00970255"/>
    <w:rsid w:val="00977ED9"/>
    <w:rsid w:val="0098074F"/>
    <w:rsid w:val="00981503"/>
    <w:rsid w:val="009867EC"/>
    <w:rsid w:val="009E52E9"/>
    <w:rsid w:val="009E6182"/>
    <w:rsid w:val="00A01339"/>
    <w:rsid w:val="00A17ABD"/>
    <w:rsid w:val="00A27E6B"/>
    <w:rsid w:val="00B544A1"/>
    <w:rsid w:val="00B5611C"/>
    <w:rsid w:val="00B6095C"/>
    <w:rsid w:val="00B67BD6"/>
    <w:rsid w:val="00B715AF"/>
    <w:rsid w:val="00BB6EC2"/>
    <w:rsid w:val="00BC029F"/>
    <w:rsid w:val="00BD0EAF"/>
    <w:rsid w:val="00C6360B"/>
    <w:rsid w:val="00C711CB"/>
    <w:rsid w:val="00CA606B"/>
    <w:rsid w:val="00CE3B36"/>
    <w:rsid w:val="00D574C2"/>
    <w:rsid w:val="00D73169"/>
    <w:rsid w:val="00D80F9B"/>
    <w:rsid w:val="00DB7FF1"/>
    <w:rsid w:val="00DF5CB6"/>
    <w:rsid w:val="00E24270"/>
    <w:rsid w:val="00E40D0B"/>
    <w:rsid w:val="00E44E18"/>
    <w:rsid w:val="00E508D3"/>
    <w:rsid w:val="00EA49B8"/>
    <w:rsid w:val="00ED2CD7"/>
    <w:rsid w:val="00F456D2"/>
    <w:rsid w:val="00F679EE"/>
    <w:rsid w:val="00FA779B"/>
    <w:rsid w:val="00FC2190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978F"/>
  <w15:docId w15:val="{5A52DA64-61D5-4E4E-8A04-BC9DF1F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2CD7"/>
    <w:pPr>
      <w:pBdr>
        <w:bottom w:val="single" w:sz="6" w:space="2" w:color="CCCCCC"/>
      </w:pBdr>
      <w:spacing w:before="300" w:after="75" w:line="240" w:lineRule="auto"/>
      <w:outlineLvl w:val="1"/>
    </w:pPr>
    <w:rPr>
      <w:rFonts w:ascii="Arial" w:eastAsia="Times New Roman" w:hAnsi="Arial" w:cs="Arial"/>
      <w:b/>
      <w:bCs/>
      <w:color w:val="7E4A91"/>
      <w:sz w:val="27"/>
      <w:szCs w:val="2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D2CD7"/>
    <w:pPr>
      <w:spacing w:before="120" w:after="30" w:line="240" w:lineRule="auto"/>
      <w:outlineLvl w:val="2"/>
    </w:pPr>
    <w:rPr>
      <w:rFonts w:ascii="Arial" w:eastAsia="Times New Roman" w:hAnsi="Arial" w:cs="Arial"/>
      <w:b/>
      <w:bCs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2CD7"/>
    <w:rPr>
      <w:rFonts w:ascii="Arial" w:eastAsia="Times New Roman" w:hAnsi="Arial" w:cs="Arial"/>
      <w:b/>
      <w:bCs/>
      <w:color w:val="7E4A91"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D2CD7"/>
    <w:rPr>
      <w:rFonts w:ascii="Arial" w:eastAsia="Times New Roman" w:hAnsi="Arial" w:cs="Arial"/>
      <w:b/>
      <w:bCs/>
      <w:sz w:val="21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ED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1B70"/>
    <w:pPr>
      <w:ind w:left="720"/>
      <w:contextualSpacing/>
    </w:pPr>
  </w:style>
  <w:style w:type="paragraph" w:customStyle="1" w:styleId="H3">
    <w:name w:val="H3"/>
    <w:basedOn w:val="Normal"/>
    <w:next w:val="Normal"/>
    <w:uiPriority w:val="99"/>
    <w:rsid w:val="00BB6EC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B766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2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otted" w:sz="6" w:space="15" w:color="CCCCCC"/>
                                <w:left w:val="dotted" w:sz="6" w:space="15" w:color="CCCCCC"/>
                                <w:bottom w:val="dotted" w:sz="6" w:space="11" w:color="CCCCCC"/>
                                <w:right w:val="dotted" w:sz="6" w:space="15" w:color="CCCCCC"/>
                              </w:divBdr>
                              <w:divsChild>
                                <w:div w:id="9477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9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49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934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sf.fr/" TargetMode="External"/><Relationship Id="rId5" Type="http://schemas.openxmlformats.org/officeDocument/2006/relationships/hyperlink" Target="mailto:Santiago.tavolaro@macs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TAVOLARO Santiago</dc:creator>
  <cp:lastModifiedBy>TAVOLARO Santiago</cp:lastModifiedBy>
  <cp:revision>10</cp:revision>
  <cp:lastPrinted>2022-10-12T16:06:00Z</cp:lastPrinted>
  <dcterms:created xsi:type="dcterms:W3CDTF">2022-10-12T10:09:00Z</dcterms:created>
  <dcterms:modified xsi:type="dcterms:W3CDTF">2022-11-07T15:02:00Z</dcterms:modified>
</cp:coreProperties>
</file>